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5F" w:rsidRPr="00CC4A5F" w:rsidRDefault="00CC4A5F" w:rsidP="00CC4A5F">
      <w:pPr>
        <w:jc w:val="center"/>
        <w:rPr>
          <w:b/>
        </w:rPr>
      </w:pPr>
      <w:bookmarkStart w:id="0" w:name="_GoBack"/>
      <w:bookmarkEnd w:id="0"/>
      <w:r w:rsidRPr="00CC4A5F">
        <w:rPr>
          <w:b/>
        </w:rPr>
        <w:t>28 C.F.R. § 501.3</w:t>
      </w:r>
    </w:p>
    <w:p w:rsidR="00CC4A5F" w:rsidRPr="00CC4A5F" w:rsidRDefault="00CC4A5F" w:rsidP="00CC4A5F">
      <w:pPr>
        <w:jc w:val="center"/>
        <w:rPr>
          <w:b/>
        </w:rPr>
      </w:pPr>
      <w:proofErr w:type="gramStart"/>
      <w:r w:rsidRPr="00CC4A5F">
        <w:rPr>
          <w:b/>
        </w:rPr>
        <w:t>§ 501.3 Prevention of acts of violence and terrorism.</w:t>
      </w:r>
      <w:proofErr w:type="gramEnd"/>
    </w:p>
    <w:p w:rsidR="00CC4A5F" w:rsidRDefault="00CC4A5F" w:rsidP="00CC4A5F"/>
    <w:p w:rsidR="00CC4A5F" w:rsidRDefault="00CC4A5F" w:rsidP="00CC4A5F">
      <w:r>
        <w:t>(a) Upon direction of the Attorney General, the Director, Bureau of Prisons, may authorize the Warden to implement special administrative measures that are reasonably necessary to protect persons against the risk of death or serious bodily injury. These procedures may be implemented upon written notification to the Director, Bureau of Prisons, by the Attorney General or, at the Attorney General's direction, by the head of a federal law enforcement agency, or the head of a member agency of the United States intelligence community, that there is a substantial risk that a prisoner's communications or contacts with persons could result in death or serious bodily injury to persons, or substantial damage to property that would entail the risk of death or serious bodily injury to persons. These special administrative measures ordinarily may include housing the inmate in administrative detention and/or limiting certain privileges, including, but not limited to, correspondence, visiting, interviews with representatives of the news media, and use of the telephone, as is reasonably necessary to protect persons against the risk of acts of violence or terrorism. The authority of the Director under this paragraph may not be delegated below the level of Acting Director.</w:t>
      </w:r>
    </w:p>
    <w:p w:rsidR="00CC4A5F" w:rsidRDefault="00CC4A5F" w:rsidP="00CC4A5F"/>
    <w:p w:rsidR="00CC4A5F" w:rsidRDefault="00CC4A5F" w:rsidP="00CC4A5F">
      <w:r>
        <w:t>(b) Designated staff shall provide to the affected inmate, as soon as practicable, written notification of the restrictions imposed and the basis for these restrictions. The notice's statement as to the basis may be limited in the interest of prison security or safety or to protect against acts of violence or terrorism. The inmate shall sign for and receive a copy of the notification.</w:t>
      </w:r>
    </w:p>
    <w:p w:rsidR="00CC4A5F" w:rsidRDefault="00CC4A5F" w:rsidP="00CC4A5F"/>
    <w:p w:rsidR="00CC4A5F" w:rsidRDefault="00CC4A5F" w:rsidP="00CC4A5F">
      <w:r>
        <w:t>(c) Initial placement of an inmate in administrative detention and/or any limitation of the inmate's privileges in accordance with paragraph (a) of this section may be imposed for up to 120 days or, with the approval of the Attorney General, a longer period of time not to exceed one year. Special restrictions imposed in accordance with paragraph (a) of this section may be extended thereafter by the Director, Bureau of Prisons, in increments not to exceed one year, upon receipt by the Director of an additional written notification from the Attorney General, or, at the Attorney General's direction, from the head of a federal law enforcement agency or the head of a member agency of the United States intelligence community, that there continues to be a substantial risk that the inmate's communications or contacts with other persons could result in death or serious bodily injury to persons, or substantial damage to property that would entail the risk of death or serious bodily injury to persons. The authority of the Director under this paragraph may not be delegated below the level of Acting Director.</w:t>
      </w:r>
    </w:p>
    <w:p w:rsidR="00CC4A5F" w:rsidRDefault="00CC4A5F" w:rsidP="00CC4A5F"/>
    <w:p w:rsidR="00CC4A5F" w:rsidRDefault="00CC4A5F" w:rsidP="00CC4A5F">
      <w:r>
        <w:t>(d) In any case where the Attorney General specifically so orders, based on information from the head of a federal law enforcement or intelligence agency that reasonable suspicion exists to believe that a particular inmate may use communications with attorneys or their agents to further or facilitate acts of terrorism, the Director, Bureau of Prisons, shall, in addition to the special administrative measures imposed under paragraph (a) of this section, provide appropriate procedures for the monitoring or review of communications between that inmate and attorneys or attorneys' agents who are traditionally covered by the attorney-client privilege, for the purpose of deterring future acts that could result in death or serious bodily injury to persons, or substantial damage to property that would entail the risk of death or serious bodily injury to persons.</w:t>
      </w:r>
    </w:p>
    <w:p w:rsidR="00CC4A5F" w:rsidRDefault="00CC4A5F" w:rsidP="00CC4A5F"/>
    <w:p w:rsidR="00CC4A5F" w:rsidRDefault="00CC4A5F" w:rsidP="00CC4A5F">
      <w:pPr>
        <w:ind w:left="720"/>
      </w:pPr>
      <w:r>
        <w:lastRenderedPageBreak/>
        <w:t>(1) The certification by the Attorney General under this paragraph (d) shall be in addition to any findings or determinations relating to the need for the imposition of other special administrative measures as provided in paragraph (a) of this section, but may be incorporated into the same document.</w:t>
      </w:r>
    </w:p>
    <w:p w:rsidR="00CC4A5F" w:rsidRDefault="00CC4A5F" w:rsidP="00CC4A5F">
      <w:pPr>
        <w:ind w:left="720"/>
      </w:pPr>
    </w:p>
    <w:p w:rsidR="00CC4A5F" w:rsidRDefault="00CC4A5F" w:rsidP="00CC4A5F">
      <w:pPr>
        <w:ind w:left="720"/>
      </w:pPr>
      <w:r>
        <w:t>(2) Except in the case of prior court authorization, the Director, Bureau of Prisons, shall provide written notice to the inmate and to the attorneys involved, prior to the initiation of any monitoring or review under this paragraph (d). The notice shall explain:</w:t>
      </w:r>
    </w:p>
    <w:p w:rsidR="00CC4A5F" w:rsidRDefault="00CC4A5F" w:rsidP="00CC4A5F">
      <w:pPr>
        <w:ind w:left="720"/>
      </w:pPr>
    </w:p>
    <w:p w:rsidR="00CC4A5F" w:rsidRDefault="00CC4A5F" w:rsidP="00CC4A5F">
      <w:pPr>
        <w:ind w:left="1440"/>
      </w:pPr>
      <w:r>
        <w:t>(</w:t>
      </w:r>
      <w:proofErr w:type="spellStart"/>
      <w:r>
        <w:t>i</w:t>
      </w:r>
      <w:proofErr w:type="spellEnd"/>
      <w:r>
        <w:t>) That, notwithstanding the provisions of part 540 of this chapter or other rules, all communications between the inmate and attorneys may be monitored, to the extent determined to be reasonably necessary for the purpose of deterring future acts of violence or terrorism;</w:t>
      </w:r>
    </w:p>
    <w:p w:rsidR="00CC4A5F" w:rsidRDefault="00CC4A5F" w:rsidP="00CC4A5F">
      <w:pPr>
        <w:ind w:left="1440"/>
      </w:pPr>
    </w:p>
    <w:p w:rsidR="00CC4A5F" w:rsidRDefault="00CC4A5F" w:rsidP="00CC4A5F">
      <w:pPr>
        <w:ind w:left="1440"/>
      </w:pPr>
      <w:r>
        <w:t>(ii) That communications between the inmate and attorneys or their agents are not protected by the attorney-client privilege if they would facilitate criminal acts or a conspiracy to commit criminal acts, or if those communications are not related to the seeking or providing of legal advice.</w:t>
      </w:r>
    </w:p>
    <w:p w:rsidR="00CC4A5F" w:rsidRDefault="00CC4A5F" w:rsidP="00CC4A5F">
      <w:pPr>
        <w:ind w:left="1440"/>
      </w:pPr>
    </w:p>
    <w:p w:rsidR="00CC4A5F" w:rsidRDefault="00CC4A5F" w:rsidP="00CC4A5F">
      <w:pPr>
        <w:ind w:left="720"/>
      </w:pPr>
      <w:r>
        <w:t xml:space="preserve">(3) The Director, Bureau of Prisons, with the approval of the Assistant Attorney General for the Criminal Division, shall employ appropriate procedures to ensure that all attorney-client communications are reviewed for privilege claims and that any properly privileged materials (including, but not limited to, recordings of privileged communications) are not retained during the course of the monitoring. To protect the attorney-client privilege and to ensure that the investigation is not compromised by exposure to privileged material relating to the investigation or to defense strategy, a privilege team shall be designated, consisting of individuals not involved in the underlying investigation. The monitoring shall be conducted pursuant to procedures designed to minimize the intrusion into privileged material or conversations. Except in cases where the person in charge of the privilege team determines that acts of violence or terrorism are imminent, the privilege team shall not disclose any information unless and until </w:t>
      </w:r>
      <w:proofErr w:type="gramStart"/>
      <w:r>
        <w:t>such disclosure has been approved by a federal judge</w:t>
      </w:r>
      <w:proofErr w:type="gramEnd"/>
      <w:r>
        <w:t>.</w:t>
      </w:r>
    </w:p>
    <w:p w:rsidR="00CC4A5F" w:rsidRDefault="00CC4A5F" w:rsidP="00CC4A5F">
      <w:pPr>
        <w:ind w:left="720"/>
      </w:pPr>
    </w:p>
    <w:p w:rsidR="00CC4A5F" w:rsidRDefault="00CC4A5F" w:rsidP="00CC4A5F">
      <w:r>
        <w:t xml:space="preserve">(e) The affected inmate may seek review of any special restrictions imposed in accordance with paragraph (a) of this section through the Administrative Remedy Program, 28 CFR </w:t>
      </w:r>
      <w:proofErr w:type="gramStart"/>
      <w:r>
        <w:t>part</w:t>
      </w:r>
      <w:proofErr w:type="gramEnd"/>
      <w:r>
        <w:t xml:space="preserve"> 542.</w:t>
      </w:r>
    </w:p>
    <w:p w:rsidR="00CC4A5F" w:rsidRDefault="00CC4A5F" w:rsidP="00CC4A5F"/>
    <w:p w:rsidR="00CC4A5F" w:rsidRDefault="00CC4A5F" w:rsidP="00CC4A5F">
      <w:r>
        <w:t>(f) Other appropriate officials of the Department of Justice having custody of persons for whom special administrative measures are required may exercise the same authorities under this section as the Director of the Bureau of Prisons and the Warden.</w:t>
      </w:r>
    </w:p>
    <w:p w:rsidR="00A145AB" w:rsidRDefault="003A0C94"/>
    <w:sectPr w:rsidR="00A145AB" w:rsidSect="006339E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5F"/>
    <w:rsid w:val="003A0C94"/>
    <w:rsid w:val="00CC4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6C6C"/>
    <w:rPr>
      <w:rFonts w:ascii="Times New Roman" w:hAnsi="Times New Roman"/>
    </w:rPr>
  </w:style>
  <w:style w:type="paragraph" w:styleId="Heading1">
    <w:name w:val="heading 1"/>
    <w:basedOn w:val="Normal"/>
    <w:next w:val="Normal"/>
    <w:link w:val="Heading1Char"/>
    <w:autoRedefine/>
    <w:uiPriority w:val="9"/>
    <w:qFormat/>
    <w:rsid w:val="007D1723"/>
    <w:pPr>
      <w:keepNext/>
      <w:keepLines/>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autoRedefine/>
    <w:uiPriority w:val="9"/>
    <w:unhideWhenUsed/>
    <w:qFormat/>
    <w:rsid w:val="007D1723"/>
    <w:pPr>
      <w:keepNext/>
      <w:keepLines/>
      <w:spacing w:before="80"/>
      <w:outlineLvl w:val="1"/>
    </w:pPr>
    <w:rPr>
      <w:rFonts w:eastAsiaTheme="majorEastAsia" w:cstheme="majorBidi"/>
      <w:b/>
      <w:bCs/>
      <w:i/>
      <w:szCs w:val="26"/>
    </w:rPr>
  </w:style>
  <w:style w:type="paragraph" w:styleId="Heading3">
    <w:name w:val="heading 3"/>
    <w:basedOn w:val="Normal"/>
    <w:next w:val="Normal"/>
    <w:link w:val="Heading3Char"/>
    <w:autoRedefine/>
    <w:uiPriority w:val="9"/>
    <w:semiHidden/>
    <w:unhideWhenUsed/>
    <w:qFormat/>
    <w:rsid w:val="00E76CA1"/>
    <w:pPr>
      <w:keepNext/>
      <w:keepLines/>
      <w:spacing w:before="8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76CA1"/>
    <w:rPr>
      <w:rFonts w:ascii="Times New Roman" w:eastAsiaTheme="majorEastAsia" w:hAnsi="Times New Roman" w:cstheme="majorBidi"/>
      <w:b/>
      <w:bCs/>
      <w:color w:val="4F81BD" w:themeColor="accent1"/>
    </w:rPr>
  </w:style>
  <w:style w:type="character" w:customStyle="1" w:styleId="Heading1Char">
    <w:name w:val="Heading 1 Char"/>
    <w:basedOn w:val="DefaultParagraphFont"/>
    <w:link w:val="Heading1"/>
    <w:uiPriority w:val="9"/>
    <w:rsid w:val="007D1723"/>
    <w:rPr>
      <w:rFonts w:ascii="Times New Roman" w:eastAsiaTheme="majorEastAsia" w:hAnsi="Times New Roman" w:cstheme="majorBidi"/>
      <w:b/>
      <w:bCs/>
      <w:color w:val="345A8A" w:themeColor="accent1" w:themeShade="B5"/>
      <w:sz w:val="28"/>
      <w:szCs w:val="32"/>
    </w:rPr>
  </w:style>
  <w:style w:type="character" w:customStyle="1" w:styleId="Heading2Char">
    <w:name w:val="Heading 2 Char"/>
    <w:basedOn w:val="DefaultParagraphFont"/>
    <w:link w:val="Heading2"/>
    <w:uiPriority w:val="9"/>
    <w:rsid w:val="007D1723"/>
    <w:rPr>
      <w:rFonts w:ascii="Times New Roman" w:eastAsiaTheme="majorEastAsia" w:hAnsi="Times New Roman" w:cstheme="majorBidi"/>
      <w:b/>
      <w:bCs/>
      <w:i/>
      <w:szCs w:val="26"/>
    </w:rPr>
  </w:style>
  <w:style w:type="paragraph" w:styleId="CommentText">
    <w:name w:val="annotation text"/>
    <w:basedOn w:val="Normal"/>
    <w:link w:val="CommentTextChar"/>
    <w:autoRedefine/>
    <w:uiPriority w:val="99"/>
    <w:unhideWhenUsed/>
    <w:rsid w:val="00EA30AD"/>
  </w:style>
  <w:style w:type="character" w:customStyle="1" w:styleId="CommentTextChar">
    <w:name w:val="Comment Text Char"/>
    <w:basedOn w:val="DefaultParagraphFont"/>
    <w:link w:val="CommentText"/>
    <w:uiPriority w:val="99"/>
    <w:rsid w:val="00EA30AD"/>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6C6C"/>
    <w:rPr>
      <w:rFonts w:ascii="Times New Roman" w:hAnsi="Times New Roman"/>
    </w:rPr>
  </w:style>
  <w:style w:type="paragraph" w:styleId="Heading1">
    <w:name w:val="heading 1"/>
    <w:basedOn w:val="Normal"/>
    <w:next w:val="Normal"/>
    <w:link w:val="Heading1Char"/>
    <w:autoRedefine/>
    <w:uiPriority w:val="9"/>
    <w:qFormat/>
    <w:rsid w:val="007D1723"/>
    <w:pPr>
      <w:keepNext/>
      <w:keepLines/>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autoRedefine/>
    <w:uiPriority w:val="9"/>
    <w:unhideWhenUsed/>
    <w:qFormat/>
    <w:rsid w:val="007D1723"/>
    <w:pPr>
      <w:keepNext/>
      <w:keepLines/>
      <w:spacing w:before="80"/>
      <w:outlineLvl w:val="1"/>
    </w:pPr>
    <w:rPr>
      <w:rFonts w:eastAsiaTheme="majorEastAsia" w:cstheme="majorBidi"/>
      <w:b/>
      <w:bCs/>
      <w:i/>
      <w:szCs w:val="26"/>
    </w:rPr>
  </w:style>
  <w:style w:type="paragraph" w:styleId="Heading3">
    <w:name w:val="heading 3"/>
    <w:basedOn w:val="Normal"/>
    <w:next w:val="Normal"/>
    <w:link w:val="Heading3Char"/>
    <w:autoRedefine/>
    <w:uiPriority w:val="9"/>
    <w:semiHidden/>
    <w:unhideWhenUsed/>
    <w:qFormat/>
    <w:rsid w:val="00E76CA1"/>
    <w:pPr>
      <w:keepNext/>
      <w:keepLines/>
      <w:spacing w:before="8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76CA1"/>
    <w:rPr>
      <w:rFonts w:ascii="Times New Roman" w:eastAsiaTheme="majorEastAsia" w:hAnsi="Times New Roman" w:cstheme="majorBidi"/>
      <w:b/>
      <w:bCs/>
      <w:color w:val="4F81BD" w:themeColor="accent1"/>
    </w:rPr>
  </w:style>
  <w:style w:type="character" w:customStyle="1" w:styleId="Heading1Char">
    <w:name w:val="Heading 1 Char"/>
    <w:basedOn w:val="DefaultParagraphFont"/>
    <w:link w:val="Heading1"/>
    <w:uiPriority w:val="9"/>
    <w:rsid w:val="007D1723"/>
    <w:rPr>
      <w:rFonts w:ascii="Times New Roman" w:eastAsiaTheme="majorEastAsia" w:hAnsi="Times New Roman" w:cstheme="majorBidi"/>
      <w:b/>
      <w:bCs/>
      <w:color w:val="345A8A" w:themeColor="accent1" w:themeShade="B5"/>
      <w:sz w:val="28"/>
      <w:szCs w:val="32"/>
    </w:rPr>
  </w:style>
  <w:style w:type="character" w:customStyle="1" w:styleId="Heading2Char">
    <w:name w:val="Heading 2 Char"/>
    <w:basedOn w:val="DefaultParagraphFont"/>
    <w:link w:val="Heading2"/>
    <w:uiPriority w:val="9"/>
    <w:rsid w:val="007D1723"/>
    <w:rPr>
      <w:rFonts w:ascii="Times New Roman" w:eastAsiaTheme="majorEastAsia" w:hAnsi="Times New Roman" w:cstheme="majorBidi"/>
      <w:b/>
      <w:bCs/>
      <w:i/>
      <w:szCs w:val="26"/>
    </w:rPr>
  </w:style>
  <w:style w:type="paragraph" w:styleId="CommentText">
    <w:name w:val="annotation text"/>
    <w:basedOn w:val="Normal"/>
    <w:link w:val="CommentTextChar"/>
    <w:autoRedefine/>
    <w:uiPriority w:val="99"/>
    <w:unhideWhenUsed/>
    <w:rsid w:val="00EA30AD"/>
  </w:style>
  <w:style w:type="character" w:customStyle="1" w:styleId="CommentTextChar">
    <w:name w:val="Comment Text Char"/>
    <w:basedOn w:val="DefaultParagraphFont"/>
    <w:link w:val="CommentText"/>
    <w:uiPriority w:val="99"/>
    <w:rsid w:val="00EA30A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5431</Characters>
  <Application>Microsoft Macintosh Word</Application>
  <DocSecurity>0</DocSecurity>
  <Lines>45</Lines>
  <Paragraphs>12</Paragraphs>
  <ScaleCrop>false</ScaleCrop>
  <Company>Georgetown University</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Wilson</dc:creator>
  <cp:keywords/>
  <cp:lastModifiedBy>Michael Renzi</cp:lastModifiedBy>
  <cp:revision>2</cp:revision>
  <dcterms:created xsi:type="dcterms:W3CDTF">2014-08-01T14:58:00Z</dcterms:created>
  <dcterms:modified xsi:type="dcterms:W3CDTF">2014-08-01T14:58:00Z</dcterms:modified>
</cp:coreProperties>
</file>